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 xml:space="preserve"> 询 价 文 件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各潜在供应商：</w:t>
      </w:r>
    </w:p>
    <w:p>
      <w:pPr>
        <w:adjustRightInd w:val="0"/>
        <w:snapToGrid w:val="0"/>
        <w:spacing w:line="600" w:lineRule="exact"/>
        <w:ind w:firstLine="480" w:firstLineChars="200"/>
        <w:rPr>
          <w:rFonts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我公司根据页岩气返排液外拉处置技术服务工作需要，拟遴选返排液外拉运输及协同处置服务外协单位，现进行公开询价，具体情况如下：</w:t>
      </w:r>
    </w:p>
    <w:p>
      <w:pPr>
        <w:adjustRightInd w:val="0"/>
        <w:snapToGrid w:val="0"/>
        <w:spacing w:line="600" w:lineRule="exact"/>
        <w:ind w:firstLine="480" w:firstLineChars="200"/>
        <w:rPr>
          <w:rFonts w:ascii="Times New Roman" w:hAnsi="Times New Roman" w:eastAsia="方正仿宋_GBK" w:cs="方正仿宋_GBK"/>
          <w:b/>
          <w:bCs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一、项目编号</w:t>
      </w:r>
      <w:r>
        <w:rPr>
          <w:rFonts w:hint="eastAsia" w:ascii="Times New Roman" w:hAnsi="Times New Roman" w:eastAsia="方正仿宋_GBK" w:cs="方正仿宋_GBK"/>
          <w:b/>
          <w:bCs/>
          <w:sz w:val="24"/>
          <w:szCs w:val="24"/>
        </w:rPr>
        <w:t>：</w:t>
      </w:r>
      <w:r>
        <w:rPr>
          <w:rFonts w:hint="eastAsia" w:ascii="Times New Roman" w:hAnsi="Times New Roman" w:eastAsia="方正仿宋_GBK" w:cs="方正仿宋_GBK"/>
          <w:sz w:val="24"/>
          <w:szCs w:val="24"/>
        </w:rPr>
        <w:t>CQHD202309</w:t>
      </w:r>
    </w:p>
    <w:p>
      <w:pPr>
        <w:adjustRightInd w:val="0"/>
        <w:snapToGrid w:val="0"/>
        <w:spacing w:line="600" w:lineRule="exact"/>
        <w:ind w:firstLine="480" w:firstLineChars="200"/>
        <w:rPr>
          <w:rFonts w:ascii="方正黑体_GBK" w:hAnsi="方正黑体_GBK" w:eastAsia="方正黑体_GBK" w:cs="方正黑体_GBK"/>
          <w:color w:val="auto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二、项目基本情况概述</w:t>
      </w:r>
    </w:p>
    <w:p>
      <w:pPr>
        <w:adjustRightInd w:val="0"/>
        <w:snapToGrid w:val="0"/>
        <w:spacing w:line="600" w:lineRule="exact"/>
        <w:ind w:firstLine="480" w:firstLineChars="200"/>
        <w:rPr>
          <w:rFonts w:ascii="Times New Roman" w:hAnsi="Times New Roman" w:eastAsia="方正仿宋_GBK" w:cs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  <w:szCs w:val="24"/>
        </w:rPr>
        <w:t>对页岩气平台压裂（主要位于铜梁-大足区域）及试采期间的返排液进行拉运、协同环保处置，总量预计75000立方米，以实际处置量为准，服务期拟为1年（以最终签订合同为准）。</w:t>
      </w:r>
    </w:p>
    <w:p>
      <w:pPr>
        <w:adjustRightInd w:val="0"/>
        <w:snapToGrid w:val="0"/>
        <w:spacing w:line="600" w:lineRule="exact"/>
        <w:ind w:firstLine="470" w:firstLineChars="196"/>
        <w:rPr>
          <w:rFonts w:ascii="方正楷体_GBK" w:hAnsi="方正楷体_GBK" w:eastAsia="方正楷体_GBK" w:cs="方正楷体_GBK"/>
          <w:color w:val="auto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color w:val="auto"/>
          <w:sz w:val="24"/>
          <w:szCs w:val="24"/>
        </w:rPr>
        <w:t>（一）采购基本信息</w:t>
      </w:r>
    </w:p>
    <w:tbl>
      <w:tblPr>
        <w:tblStyle w:val="16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1"/>
        <w:gridCol w:w="1834"/>
        <w:gridCol w:w="1303"/>
        <w:gridCol w:w="2444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3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分包号</w:t>
            </w:r>
          </w:p>
        </w:tc>
        <w:tc>
          <w:tcPr>
            <w:tcW w:w="1078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932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预估量（立方米）</w:t>
            </w:r>
          </w:p>
        </w:tc>
        <w:tc>
          <w:tcPr>
            <w:tcW w:w="662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服务期（预计）</w:t>
            </w:r>
          </w:p>
        </w:tc>
        <w:tc>
          <w:tcPr>
            <w:tcW w:w="1242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最高限价</w:t>
            </w:r>
          </w:p>
        </w:tc>
        <w:tc>
          <w:tcPr>
            <w:tcW w:w="650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成交供应商数量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433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一</w:t>
            </w:r>
          </w:p>
        </w:tc>
        <w:tc>
          <w:tcPr>
            <w:tcW w:w="1078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《</w:t>
            </w:r>
            <w:r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  <w:t>2024年度返排液外拉处置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》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返排液运输服务</w:t>
            </w:r>
          </w:p>
        </w:tc>
        <w:tc>
          <w:tcPr>
            <w:tcW w:w="932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75000</w:t>
            </w:r>
          </w:p>
        </w:tc>
        <w:tc>
          <w:tcPr>
            <w:tcW w:w="662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1年</w:t>
            </w:r>
          </w:p>
        </w:tc>
        <w:tc>
          <w:tcPr>
            <w:tcW w:w="1242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单价（不含税）：0.8元/公里·立方米。以实际运输距离及运输量据实结算。</w:t>
            </w:r>
          </w:p>
        </w:tc>
        <w:tc>
          <w:tcPr>
            <w:tcW w:w="650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33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二</w:t>
            </w:r>
          </w:p>
        </w:tc>
        <w:tc>
          <w:tcPr>
            <w:tcW w:w="1078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《</w:t>
            </w:r>
            <w:r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  <w:t>2024年度返排液外拉处置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》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返排液协同处置</w:t>
            </w:r>
          </w:p>
        </w:tc>
        <w:tc>
          <w:tcPr>
            <w:tcW w:w="932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75000</w:t>
            </w:r>
          </w:p>
        </w:tc>
        <w:tc>
          <w:tcPr>
            <w:tcW w:w="662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1年</w:t>
            </w:r>
          </w:p>
        </w:tc>
        <w:tc>
          <w:tcPr>
            <w:tcW w:w="1242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单价（不含税）：75.0元/立方米。以实际处理量据实结算。</w:t>
            </w:r>
          </w:p>
        </w:tc>
        <w:tc>
          <w:tcPr>
            <w:tcW w:w="650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7"/>
              <w:adjustRightInd w:val="0"/>
              <w:snapToGrid w:val="0"/>
              <w:jc w:val="left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备注：同一供应商最多只能选择一个包进行报价。</w:t>
            </w:r>
          </w:p>
        </w:tc>
      </w:tr>
    </w:tbl>
    <w:p>
      <w:pPr>
        <w:adjustRightInd w:val="0"/>
        <w:snapToGrid w:val="0"/>
        <w:spacing w:line="600" w:lineRule="exact"/>
        <w:ind w:firstLine="470" w:firstLineChars="196"/>
        <w:rPr>
          <w:rFonts w:ascii="方正楷体_GBK" w:hAnsi="方正楷体_GBK" w:eastAsia="方正楷体_GBK" w:cs="方正楷体_GBK"/>
          <w:color w:val="auto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color w:val="auto"/>
          <w:sz w:val="24"/>
          <w:szCs w:val="24"/>
        </w:rPr>
        <w:t>（二）主要工作内容</w:t>
      </w:r>
    </w:p>
    <w:p>
      <w:pPr>
        <w:adjustRightInd w:val="0"/>
        <w:snapToGrid w:val="0"/>
        <w:spacing w:line="600" w:lineRule="exact"/>
        <w:ind w:firstLine="470" w:firstLineChars="196"/>
        <w:rPr>
          <w:rFonts w:ascii="Times New Roman" w:hAnsi="Times New Roman" w:eastAsia="方正仿宋_GBK" w:cs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  <w:szCs w:val="24"/>
        </w:rPr>
        <w:t>本项目工作内容及要求见下表：</w:t>
      </w:r>
    </w:p>
    <w:tbl>
      <w:tblPr>
        <w:tblStyle w:val="1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281"/>
        <w:gridCol w:w="5339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分包号</w:t>
            </w:r>
          </w:p>
        </w:tc>
        <w:tc>
          <w:tcPr>
            <w:tcW w:w="270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工作内容</w:t>
            </w:r>
          </w:p>
        </w:tc>
        <w:tc>
          <w:tcPr>
            <w:tcW w:w="164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65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一</w:t>
            </w:r>
          </w:p>
        </w:tc>
        <w:tc>
          <w:tcPr>
            <w:tcW w:w="270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按照采购人要求将页岩气平台（主要位于铜梁-大足区域）压裂及试采期间的返排液及时装车并拉运至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《</w:t>
            </w:r>
            <w:r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  <w:t>2024年度返排液外拉处置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》项目甲方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指定污水处理厂，包括现场抽水装车和达到污水处理厂后的卸载。</w:t>
            </w:r>
          </w:p>
        </w:tc>
        <w:tc>
          <w:tcPr>
            <w:tcW w:w="164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供应商须配备抽水、装卸车等有关设备。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65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二</w:t>
            </w:r>
          </w:p>
        </w:tc>
        <w:tc>
          <w:tcPr>
            <w:tcW w:w="270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将页岩气平台压裂及试采期间的返排液及时进行环保处置达到 《城镇污水处理厂污染物排放标准》（GB18918-2002）一级B及以上标准排放。</w:t>
            </w:r>
          </w:p>
        </w:tc>
        <w:tc>
          <w:tcPr>
            <w:tcW w:w="164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需满足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《</w:t>
            </w:r>
            <w:r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  <w:t>2024年度返排液外拉处置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》项目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甲方处理量和处理进度需求。</w:t>
            </w:r>
          </w:p>
        </w:tc>
      </w:tr>
    </w:tbl>
    <w:p>
      <w:pPr>
        <w:adjustRightInd w:val="0"/>
        <w:snapToGrid w:val="0"/>
        <w:spacing w:line="600" w:lineRule="exact"/>
        <w:ind w:firstLine="480" w:firstLineChars="200"/>
        <w:rPr>
          <w:rFonts w:ascii="方正黑体_GBK" w:hAnsi="方正黑体_GBK" w:eastAsia="方正黑体_GBK" w:cs="方正黑体_GBK"/>
          <w:color w:val="auto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color w:val="auto"/>
          <w:sz w:val="24"/>
          <w:szCs w:val="24"/>
        </w:rPr>
        <w:t>三、供应商资格要求</w:t>
      </w:r>
    </w:p>
    <w:p>
      <w:pPr>
        <w:widowControl/>
        <w:shd w:val="clear" w:color="auto" w:fill="FFFFFF"/>
        <w:snapToGrid w:val="0"/>
        <w:spacing w:line="600" w:lineRule="exact"/>
        <w:ind w:firstLine="480"/>
        <w:jc w:val="left"/>
        <w:rPr>
          <w:rFonts w:ascii="Times New Roman" w:hAnsi="Times New Roman" w:eastAsia="方正仿宋_GBK" w:cs="方正仿宋_GBK"/>
          <w:color w:val="auto"/>
          <w:kern w:val="0"/>
          <w:szCs w:val="21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24"/>
          <w:szCs w:val="24"/>
        </w:rPr>
        <w:t>1.具备独立的企业法人资格，具备有效的营业执照，未处于被责令停业、或被取消投标资格、财产被接管、冻结、破产等状态；</w:t>
      </w:r>
    </w:p>
    <w:p>
      <w:pPr>
        <w:widowControl/>
        <w:shd w:val="clear" w:color="auto" w:fill="FFFFFF"/>
        <w:snapToGrid w:val="0"/>
        <w:spacing w:line="600" w:lineRule="exact"/>
        <w:ind w:firstLine="480"/>
        <w:jc w:val="left"/>
        <w:rPr>
          <w:rFonts w:ascii="Times New Roman" w:hAnsi="Times New Roman" w:eastAsia="方正仿宋_GBK" w:cs="方正仿宋_GBK"/>
          <w:color w:val="auto"/>
          <w:kern w:val="0"/>
          <w:szCs w:val="21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24"/>
          <w:szCs w:val="24"/>
        </w:rPr>
        <w:t>2.满足《中华人民共和国政府采购法》第二十二条规定；</w:t>
      </w:r>
    </w:p>
    <w:p>
      <w:pPr>
        <w:widowControl/>
        <w:shd w:val="clear" w:color="auto" w:fill="FFFFFF"/>
        <w:snapToGrid w:val="0"/>
        <w:spacing w:line="600" w:lineRule="exact"/>
        <w:ind w:firstLine="480"/>
        <w:jc w:val="left"/>
        <w:rPr>
          <w:rFonts w:ascii="Times New Roman" w:hAnsi="Times New Roman" w:eastAsia="方正仿宋_GBK" w:cs="方正仿宋_GBK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24"/>
          <w:szCs w:val="24"/>
        </w:rPr>
        <w:t>3.分包一供应商须提供有效的道路运输经营许可证复印件并加盖鲜章；</w:t>
      </w:r>
    </w:p>
    <w:p>
      <w:pPr>
        <w:widowControl/>
        <w:shd w:val="clear" w:color="auto" w:fill="FFFFFF"/>
        <w:snapToGrid w:val="0"/>
        <w:spacing w:line="600" w:lineRule="exact"/>
        <w:ind w:firstLine="480"/>
        <w:jc w:val="left"/>
        <w:rPr>
          <w:rFonts w:ascii="Times New Roman" w:hAnsi="Times New Roman" w:eastAsia="方正仿宋_GBK" w:cs="方正仿宋_GBK"/>
          <w:color w:val="auto"/>
          <w:kern w:val="0"/>
          <w:sz w:val="24"/>
          <w:szCs w:val="24"/>
        </w:rPr>
      </w:pPr>
      <w:r>
        <w:rPr>
          <w:rFonts w:ascii="Times New Roman" w:hAnsi="Times New Roman" w:eastAsia="方正仿宋_GBK" w:cs="方正仿宋_GBK"/>
          <w:color w:val="auto"/>
          <w:kern w:val="0"/>
          <w:sz w:val="24"/>
          <w:szCs w:val="24"/>
        </w:rPr>
        <w:t>4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24"/>
          <w:szCs w:val="24"/>
        </w:rPr>
        <w:t>.分包二供应商须提供至少1项5年内水处理相关的业绩证明材料并加盖鲜章。</w:t>
      </w:r>
    </w:p>
    <w:p>
      <w:pPr>
        <w:adjustRightInd w:val="0"/>
        <w:snapToGrid w:val="0"/>
        <w:spacing w:line="600" w:lineRule="exact"/>
        <w:ind w:firstLine="480" w:firstLineChars="200"/>
        <w:rPr>
          <w:rFonts w:ascii="方正黑体_GBK" w:hAnsi="方正黑体_GBK" w:eastAsia="方正黑体_GBK" w:cs="方正黑体_GBK"/>
          <w:color w:val="auto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color w:val="auto"/>
          <w:sz w:val="24"/>
          <w:szCs w:val="24"/>
        </w:rPr>
        <w:t>四、商务要求</w:t>
      </w:r>
    </w:p>
    <w:p>
      <w:pPr>
        <w:adjustRightInd w:val="0"/>
        <w:snapToGrid w:val="0"/>
        <w:spacing w:line="600" w:lineRule="exact"/>
        <w:ind w:firstLine="470" w:firstLineChars="196"/>
        <w:rPr>
          <w:rFonts w:ascii="方正楷体_GBK" w:hAnsi="方正楷体_GBK" w:eastAsia="方正楷体_GBK" w:cs="方正楷体_GBK"/>
          <w:color w:val="auto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color w:val="auto"/>
          <w:sz w:val="24"/>
          <w:szCs w:val="24"/>
        </w:rPr>
        <w:t>（一）服务时限与验收标准</w:t>
      </w:r>
    </w:p>
    <w:p>
      <w:pPr>
        <w:widowControl/>
        <w:shd w:val="clear" w:color="auto" w:fill="FFFFFF"/>
        <w:snapToGrid w:val="0"/>
        <w:spacing w:line="600" w:lineRule="exact"/>
        <w:ind w:firstLine="465"/>
        <w:jc w:val="left"/>
        <w:rPr>
          <w:rFonts w:ascii="Times New Roman" w:hAnsi="Times New Roman" w:eastAsia="方正仿宋_GBK" w:cs="方正仿宋_GBK"/>
          <w:kern w:val="0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24"/>
          <w:szCs w:val="24"/>
        </w:rPr>
        <w:t>分包一：供应商须在中选后按照采购人要求开展工作，预计服务期为1年，项目验收标准为：返排液运输服务运力须满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足</w:t>
      </w:r>
      <w:r>
        <w:rPr>
          <w:rFonts w:hint="eastAsia" w:ascii="仿宋" w:hAnsi="仿宋" w:eastAsia="仿宋"/>
          <w:kern w:val="0"/>
          <w:sz w:val="24"/>
          <w:szCs w:val="24"/>
        </w:rPr>
        <w:t>《</w:t>
      </w:r>
      <w:r>
        <w:rPr>
          <w:rFonts w:ascii="仿宋" w:hAnsi="仿宋" w:eastAsia="仿宋"/>
          <w:kern w:val="0"/>
          <w:sz w:val="24"/>
          <w:szCs w:val="24"/>
        </w:rPr>
        <w:t>2024年度返排液外拉处置</w:t>
      </w:r>
      <w:r>
        <w:rPr>
          <w:rFonts w:hint="eastAsia" w:ascii="仿宋" w:hAnsi="仿宋" w:eastAsia="仿宋"/>
          <w:kern w:val="0"/>
          <w:sz w:val="24"/>
          <w:szCs w:val="24"/>
        </w:rPr>
        <w:t>》项目</w:t>
      </w:r>
      <w:r>
        <w:rPr>
          <w:rFonts w:hint="eastAsia" w:ascii="Times New Roman" w:hAnsi="Times New Roman" w:eastAsia="方正仿宋_GBK" w:cs="方正仿宋_GBK"/>
          <w:sz w:val="24"/>
          <w:szCs w:val="24"/>
        </w:rPr>
        <w:t>甲方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返排液及时运输要求，不发生安全环境事故。</w:t>
      </w:r>
    </w:p>
    <w:p>
      <w:pPr>
        <w:widowControl/>
        <w:shd w:val="clear" w:color="auto" w:fill="FFFFFF"/>
        <w:snapToGrid w:val="0"/>
        <w:spacing w:line="600" w:lineRule="exact"/>
        <w:ind w:firstLine="465"/>
        <w:jc w:val="left"/>
        <w:rPr>
          <w:rFonts w:ascii="Times New Roman" w:hAnsi="Times New Roman" w:eastAsia="方正仿宋_GBK" w:cs="方正仿宋_GBK"/>
          <w:kern w:val="0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分包二：返排液协同处置服务须满足</w:t>
      </w:r>
      <w:r>
        <w:rPr>
          <w:rFonts w:hint="eastAsia" w:ascii="仿宋" w:hAnsi="仿宋" w:eastAsia="仿宋"/>
          <w:kern w:val="0"/>
          <w:sz w:val="24"/>
          <w:szCs w:val="24"/>
        </w:rPr>
        <w:t>《</w:t>
      </w:r>
      <w:r>
        <w:rPr>
          <w:rFonts w:ascii="仿宋" w:hAnsi="仿宋" w:eastAsia="仿宋"/>
          <w:kern w:val="0"/>
          <w:sz w:val="24"/>
          <w:szCs w:val="24"/>
        </w:rPr>
        <w:t>2024年度返排液外拉处置</w:t>
      </w:r>
      <w:r>
        <w:rPr>
          <w:rFonts w:hint="eastAsia" w:ascii="仿宋" w:hAnsi="仿宋" w:eastAsia="仿宋"/>
          <w:kern w:val="0"/>
          <w:sz w:val="24"/>
          <w:szCs w:val="24"/>
        </w:rPr>
        <w:t>》项目</w:t>
      </w:r>
      <w:r>
        <w:rPr>
          <w:rFonts w:hint="eastAsia" w:ascii="Times New Roman" w:hAnsi="Times New Roman" w:eastAsia="方正仿宋_GBK" w:cs="方正仿宋_GBK"/>
          <w:sz w:val="24"/>
          <w:szCs w:val="24"/>
        </w:rPr>
        <w:t>甲方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返排液及时处置、达标处置要求，不发生安全、环境和质量事故。</w:t>
      </w:r>
    </w:p>
    <w:p>
      <w:pPr>
        <w:adjustRightInd w:val="0"/>
        <w:snapToGrid w:val="0"/>
        <w:spacing w:line="600" w:lineRule="exact"/>
        <w:ind w:firstLine="470" w:firstLineChars="196"/>
        <w:rPr>
          <w:rFonts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（二）支付方式</w:t>
      </w:r>
    </w:p>
    <w:p>
      <w:pPr>
        <w:widowControl/>
        <w:shd w:val="clear" w:color="auto" w:fill="FFFFFF"/>
        <w:snapToGrid w:val="0"/>
        <w:spacing w:line="600" w:lineRule="exact"/>
        <w:ind w:firstLine="465"/>
        <w:jc w:val="left"/>
        <w:rPr>
          <w:rFonts w:ascii="Times New Roman" w:hAnsi="Times New Roman" w:eastAsia="方正仿宋_GBK" w:cs="方正仿宋_GBK"/>
          <w:kern w:val="0"/>
          <w:szCs w:val="21"/>
        </w:rPr>
      </w:pP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由采购人支付该项目合同款项，按实际拉运量、处置量据实结算。</w:t>
      </w:r>
    </w:p>
    <w:p>
      <w:pPr>
        <w:adjustRightInd w:val="0"/>
        <w:snapToGrid w:val="0"/>
        <w:spacing w:line="600" w:lineRule="exact"/>
        <w:ind w:firstLine="480" w:firstLineChars="200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五、报价要求及成交原则</w:t>
      </w:r>
    </w:p>
    <w:p>
      <w:pPr>
        <w:widowControl/>
        <w:shd w:val="clear" w:color="auto" w:fill="FFFFFF"/>
        <w:snapToGrid w:val="0"/>
        <w:spacing w:line="600" w:lineRule="exact"/>
        <w:ind w:firstLine="480"/>
        <w:jc w:val="left"/>
        <w:rPr>
          <w:rFonts w:ascii="Times New Roman" w:hAnsi="Times New Roman" w:eastAsia="方正仿宋_GBK" w:cs="方正仿宋_GBK"/>
          <w:kern w:val="0"/>
          <w:szCs w:val="21"/>
        </w:rPr>
      </w:pP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（一）有意向的供应商，请按照规定时间及方式向我公司提交报价文件。</w:t>
      </w:r>
    </w:p>
    <w:p>
      <w:pPr>
        <w:widowControl/>
        <w:shd w:val="clear" w:color="auto" w:fill="FFFFFF"/>
        <w:snapToGrid w:val="0"/>
        <w:spacing w:line="600" w:lineRule="exact"/>
        <w:ind w:firstLine="480"/>
        <w:jc w:val="left"/>
        <w:rPr>
          <w:rFonts w:ascii="Times New Roman" w:hAnsi="Times New Roman" w:eastAsia="方正仿宋_GBK" w:cs="方正仿宋_GBK"/>
          <w:kern w:val="0"/>
          <w:szCs w:val="21"/>
        </w:rPr>
      </w:pP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（二）在符合资格要求的供应商中，我公司按照报价由低到高的原则并结合遴选洽谈情况确定供应商。</w:t>
      </w:r>
    </w:p>
    <w:p>
      <w:pPr>
        <w:widowControl/>
        <w:shd w:val="clear" w:color="auto" w:fill="FFFFFF"/>
        <w:snapToGrid w:val="0"/>
        <w:spacing w:line="600" w:lineRule="exact"/>
        <w:ind w:firstLine="480"/>
        <w:jc w:val="left"/>
        <w:rPr>
          <w:rFonts w:ascii="Times New Roman" w:hAnsi="Times New Roman" w:eastAsia="方正仿宋_GBK" w:cs="方正仿宋_GBK"/>
          <w:kern w:val="0"/>
          <w:szCs w:val="21"/>
        </w:rPr>
      </w:pP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（三）报价文件格式要求见附件。</w:t>
      </w:r>
    </w:p>
    <w:p>
      <w:pPr>
        <w:widowControl/>
        <w:shd w:val="clear" w:color="auto" w:fill="FFFFFF"/>
        <w:snapToGrid w:val="0"/>
        <w:spacing w:line="600" w:lineRule="exact"/>
        <w:ind w:firstLine="480"/>
        <w:jc w:val="left"/>
        <w:rPr>
          <w:rFonts w:ascii="Times New Roman" w:hAnsi="Times New Roman" w:eastAsia="方正仿宋_GBK" w:cs="方正仿宋_GBK"/>
          <w:kern w:val="0"/>
          <w:szCs w:val="21"/>
        </w:rPr>
      </w:pP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（四）供应商报价须一并提供有效的营业执照并加盖鲜章。</w:t>
      </w:r>
    </w:p>
    <w:p>
      <w:pPr>
        <w:widowControl/>
        <w:shd w:val="clear" w:color="auto" w:fill="FFFFFF"/>
        <w:snapToGrid w:val="0"/>
        <w:spacing w:line="600" w:lineRule="exact"/>
        <w:ind w:firstLine="480"/>
        <w:jc w:val="left"/>
        <w:rPr>
          <w:rFonts w:ascii="Times New Roman" w:hAnsi="Times New Roman" w:eastAsia="方正仿宋_GBK" w:cs="方正仿宋_GBK"/>
          <w:kern w:val="0"/>
          <w:szCs w:val="21"/>
        </w:rPr>
      </w:pP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（五）供应商报价时须对“四、商务要求”相应条款作出承诺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  <w:lang w:val="en-US" w:eastAsia="zh-CN"/>
        </w:rPr>
        <w:t>格式自拟）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并加盖鲜章，否则报价无效。</w:t>
      </w:r>
    </w:p>
    <w:p>
      <w:pPr>
        <w:widowControl/>
        <w:shd w:val="clear" w:color="auto" w:fill="FFFFFF"/>
        <w:snapToGrid w:val="0"/>
        <w:spacing w:line="600" w:lineRule="exact"/>
        <w:ind w:firstLine="480"/>
        <w:jc w:val="left"/>
        <w:rPr>
          <w:rFonts w:ascii="Times New Roman" w:hAnsi="Times New Roman" w:eastAsia="方正仿宋_GBK" w:cs="方正仿宋_GBK"/>
          <w:kern w:val="0"/>
          <w:szCs w:val="21"/>
        </w:rPr>
      </w:pP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（六）报价书须加盖报价方公章，否则报价无效。</w:t>
      </w:r>
    </w:p>
    <w:p>
      <w:pPr>
        <w:pStyle w:val="4"/>
        <w:adjustRightInd w:val="0"/>
        <w:snapToGrid w:val="0"/>
        <w:spacing w:line="600" w:lineRule="exact"/>
        <w:rPr>
          <w:rFonts w:ascii="方正黑体_GBK" w:hAnsi="方正黑体_GBK" w:eastAsia="方正黑体_GBK" w:cs="方正黑体_GBK"/>
          <w:sz w:val="24"/>
        </w:rPr>
      </w:pPr>
      <w:r>
        <w:rPr>
          <w:rFonts w:hint="eastAsia" w:ascii="方正黑体_GBK" w:hAnsi="方正黑体_GBK" w:eastAsia="方正黑体_GBK" w:cs="方正黑体_GBK"/>
          <w:sz w:val="24"/>
        </w:rPr>
        <w:t>六、报价文件递交方式及时间</w:t>
      </w:r>
    </w:p>
    <w:p>
      <w:pPr>
        <w:widowControl/>
        <w:shd w:val="clear" w:color="auto" w:fill="FFFFFF"/>
        <w:snapToGrid w:val="0"/>
        <w:spacing w:line="600" w:lineRule="exact"/>
        <w:ind w:firstLine="480"/>
        <w:jc w:val="left"/>
        <w:rPr>
          <w:rFonts w:ascii="Times New Roman" w:hAnsi="Times New Roman" w:eastAsia="方正仿宋_GBK" w:cs="方正仿宋_GBK"/>
          <w:kern w:val="0"/>
          <w:szCs w:val="21"/>
        </w:rPr>
      </w:pP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将所有报价资料密封后（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24"/>
          <w:szCs w:val="24"/>
        </w:rPr>
        <w:t>须在封套上注明所投分包号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）在2023年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月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kern w:val="0"/>
          <w:sz w:val="24"/>
          <w:szCs w:val="24"/>
        </w:rPr>
        <w:t>日下午15:00前送至综合楼1707会议室（重庆市渝北区兰馨大道111号），联系人：高老师，联系电话：81925854。</w:t>
      </w:r>
    </w:p>
    <w:p>
      <w:pPr>
        <w:snapToGrid w:val="0"/>
        <w:spacing w:line="600" w:lineRule="exact"/>
        <w:ind w:firstLine="480" w:firstLineChars="200"/>
        <w:rPr>
          <w:rFonts w:ascii="Times New Roman" w:hAnsi="Times New Roman" w:eastAsia="方正仿宋_GBK" w:cs="方正仿宋_GBK"/>
          <w:sz w:val="24"/>
          <w:szCs w:val="24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方正仿宋_GBK"/>
          <w:sz w:val="20"/>
          <w:szCs w:val="20"/>
        </w:rPr>
      </w:pPr>
    </w:p>
    <w:p>
      <w:pPr>
        <w:rPr>
          <w:rFonts w:ascii="Times New Roman" w:hAnsi="Times New Roman" w:eastAsia="方正仿宋_GBK" w:cs="方正仿宋_GBK"/>
          <w:sz w:val="20"/>
          <w:szCs w:val="20"/>
        </w:rPr>
      </w:pPr>
    </w:p>
    <w:p>
      <w:pPr>
        <w:jc w:val="right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重庆华地资环科技有限公司</w:t>
      </w:r>
    </w:p>
    <w:p>
      <w:pPr>
        <w:jc w:val="right"/>
        <w:rPr>
          <w:rFonts w:ascii="Times New Roman" w:hAnsi="Times New Roman" w:eastAsia="方正仿宋_GBK" w:cs="方正仿宋_GBK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28"/>
          <w:szCs w:val="28"/>
        </w:rPr>
        <w:t>2023年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</w:t>
      </w:r>
    </w:p>
    <w:sectPr>
      <w:footerReference r:id="rId3" w:type="default"/>
      <w:pgSz w:w="11906" w:h="16838"/>
      <w:pgMar w:top="1474" w:right="1134" w:bottom="147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DA76AD"/>
    <w:rsid w:val="0005134D"/>
    <w:rsid w:val="000A0059"/>
    <w:rsid w:val="00135ABF"/>
    <w:rsid w:val="002649B9"/>
    <w:rsid w:val="00402EC3"/>
    <w:rsid w:val="0042296B"/>
    <w:rsid w:val="004917D0"/>
    <w:rsid w:val="006A1279"/>
    <w:rsid w:val="006F0C69"/>
    <w:rsid w:val="00716268"/>
    <w:rsid w:val="00791155"/>
    <w:rsid w:val="009E04C2"/>
    <w:rsid w:val="00A36B28"/>
    <w:rsid w:val="00AC482A"/>
    <w:rsid w:val="00B543B4"/>
    <w:rsid w:val="00C95C3E"/>
    <w:rsid w:val="00D21FFF"/>
    <w:rsid w:val="00D6708C"/>
    <w:rsid w:val="00DA76AD"/>
    <w:rsid w:val="00EC5CB5"/>
    <w:rsid w:val="00F279A6"/>
    <w:rsid w:val="00FA00DA"/>
    <w:rsid w:val="0175099B"/>
    <w:rsid w:val="018146A7"/>
    <w:rsid w:val="04343C8D"/>
    <w:rsid w:val="05526700"/>
    <w:rsid w:val="07B05960"/>
    <w:rsid w:val="08C416C3"/>
    <w:rsid w:val="097F7EB7"/>
    <w:rsid w:val="0AB6496F"/>
    <w:rsid w:val="0F8F356C"/>
    <w:rsid w:val="15E433A4"/>
    <w:rsid w:val="16563FC8"/>
    <w:rsid w:val="19C10B67"/>
    <w:rsid w:val="1A630526"/>
    <w:rsid w:val="1A644AB4"/>
    <w:rsid w:val="202E19E3"/>
    <w:rsid w:val="237A70F6"/>
    <w:rsid w:val="261E53F3"/>
    <w:rsid w:val="275505FF"/>
    <w:rsid w:val="29B079D1"/>
    <w:rsid w:val="2A7105C9"/>
    <w:rsid w:val="2ABF38BC"/>
    <w:rsid w:val="2D4761C0"/>
    <w:rsid w:val="31590C78"/>
    <w:rsid w:val="37976808"/>
    <w:rsid w:val="3D1A0489"/>
    <w:rsid w:val="40722652"/>
    <w:rsid w:val="441F1DD0"/>
    <w:rsid w:val="47C14A44"/>
    <w:rsid w:val="48B620CF"/>
    <w:rsid w:val="4B0E6FB0"/>
    <w:rsid w:val="4C155293"/>
    <w:rsid w:val="4C8D2A10"/>
    <w:rsid w:val="4D7F4451"/>
    <w:rsid w:val="4F13483E"/>
    <w:rsid w:val="4F543AE0"/>
    <w:rsid w:val="529F4A91"/>
    <w:rsid w:val="579051E9"/>
    <w:rsid w:val="58E862D4"/>
    <w:rsid w:val="59C81C62"/>
    <w:rsid w:val="59FE7432"/>
    <w:rsid w:val="5EA762EA"/>
    <w:rsid w:val="5F666820"/>
    <w:rsid w:val="68300C70"/>
    <w:rsid w:val="69F83E9D"/>
    <w:rsid w:val="6C4046EC"/>
    <w:rsid w:val="6C553829"/>
    <w:rsid w:val="6DB94906"/>
    <w:rsid w:val="70A4470C"/>
    <w:rsid w:val="70B02F73"/>
    <w:rsid w:val="737064C5"/>
    <w:rsid w:val="764010A6"/>
    <w:rsid w:val="7A124DBB"/>
    <w:rsid w:val="7A422666"/>
    <w:rsid w:val="7C013085"/>
    <w:rsid w:val="7CD15ADA"/>
    <w:rsid w:val="7EA652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2">
    <w:name w:val="heading 3"/>
    <w:basedOn w:val="1"/>
    <w:next w:val="1"/>
    <w:link w:val="24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4"/>
    </w:r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6">
    <w:name w:val="annotation text"/>
    <w:basedOn w:val="1"/>
    <w:qFormat/>
    <w:uiPriority w:val="99"/>
    <w:pPr>
      <w:jc w:val="left"/>
    </w:pPr>
  </w:style>
  <w:style w:type="paragraph" w:styleId="7">
    <w:name w:val="Body Text"/>
    <w:basedOn w:val="1"/>
    <w:next w:val="1"/>
    <w:qFormat/>
    <w:uiPriority w:val="99"/>
    <w:rPr>
      <w:rFonts w:ascii="仿宋_GB2312" w:eastAsia="仿宋_GB2312"/>
      <w:sz w:val="32"/>
    </w:rPr>
  </w:style>
  <w:style w:type="paragraph" w:styleId="8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9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10">
    <w:name w:val="Balloon Text"/>
    <w:basedOn w:val="1"/>
    <w:link w:val="26"/>
    <w:qFormat/>
    <w:uiPriority w:val="99"/>
    <w:rPr>
      <w:sz w:val="18"/>
      <w:szCs w:val="18"/>
    </w:r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Body Text First Indent 2"/>
    <w:basedOn w:val="8"/>
    <w:qFormat/>
    <w:uiPriority w:val="0"/>
    <w:pPr>
      <w:ind w:firstLine="420" w:firstLineChars="200"/>
    </w:p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qFormat/>
    <w:uiPriority w:val="99"/>
    <w:rPr>
      <w:color w:val="0000FF"/>
      <w:u w:val="single"/>
    </w:rPr>
  </w:style>
  <w:style w:type="character" w:styleId="20">
    <w:name w:val="annotation reference"/>
    <w:basedOn w:val="17"/>
    <w:qFormat/>
    <w:uiPriority w:val="99"/>
    <w:rPr>
      <w:sz w:val="21"/>
      <w:szCs w:val="21"/>
    </w:rPr>
  </w:style>
  <w:style w:type="character" w:customStyle="1" w:styleId="21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22">
    <w:name w:val="页脚 字符"/>
    <w:basedOn w:val="17"/>
    <w:link w:val="11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3 字符"/>
    <w:basedOn w:val="1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5">
    <w:name w:val="日期 字符"/>
    <w:basedOn w:val="17"/>
    <w:link w:val="9"/>
    <w:qFormat/>
    <w:uiPriority w:val="99"/>
  </w:style>
  <w:style w:type="character" w:customStyle="1" w:styleId="26">
    <w:name w:val="批注框文本 字符"/>
    <w:basedOn w:val="17"/>
    <w:link w:val="10"/>
    <w:qFormat/>
    <w:uiPriority w:val="99"/>
    <w:rPr>
      <w:sz w:val="18"/>
      <w:szCs w:val="18"/>
    </w:rPr>
  </w:style>
  <w:style w:type="character" w:customStyle="1" w:styleId="27">
    <w:name w:val="未处理的提及1"/>
    <w:basedOn w:val="17"/>
    <w:qFormat/>
    <w:uiPriority w:val="99"/>
    <w:rPr>
      <w:color w:val="605E5C"/>
      <w:shd w:val="clear" w:color="auto" w:fill="E1DFDD"/>
    </w:rPr>
  </w:style>
  <w:style w:type="character" w:customStyle="1" w:styleId="28">
    <w:name w:val="标题 2 字符"/>
    <w:basedOn w:val="17"/>
    <w:link w:val="3"/>
    <w:qFormat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29">
    <w:name w:val="font51"/>
    <w:basedOn w:val="17"/>
    <w:qFormat/>
    <w:uiPriority w:val="0"/>
    <w:rPr>
      <w:rFonts w:hint="eastAsia" w:ascii="新宋体" w:hAnsi="新宋体" w:eastAsia="新宋体" w:cs="新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287B9-2899-4974-8CCE-3611BD9CE0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1229</Words>
  <Characters>1310</Characters>
  <Lines>9</Lines>
  <Paragraphs>2</Paragraphs>
  <TotalTime>25</TotalTime>
  <ScaleCrop>false</ScaleCrop>
  <LinksUpToDate>false</LinksUpToDate>
  <CharactersWithSpaces>1326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2023-05-24T02:35:00Z</dcterms:created>
  <dc:creator>ranzhu</dc:creator>
  <cp:lastModifiedBy>高锐</cp:lastModifiedBy>
  <cp:lastPrinted>2023-07-24T06:23:00Z</cp:lastPrinted>
  <dcterms:modified xsi:type="dcterms:W3CDTF">2023-12-01T06:25:02Z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EC4771030C034C7F9D19F1D048610482_13</vt:lpwstr>
  </property>
</Properties>
</file>